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AC" w:rsidRPr="000E1EAC" w:rsidRDefault="003F4597" w:rsidP="000E1EAC">
      <w:pPr>
        <w:spacing w:line="360" w:lineRule="auto"/>
        <w:rPr>
          <w:i/>
          <w:sz w:val="24"/>
        </w:rPr>
      </w:pPr>
      <w:r w:rsidRPr="003F4597">
        <w:rPr>
          <w:b/>
          <w:sz w:val="24"/>
        </w:rPr>
        <w:t>Lasting achievements in K</w:t>
      </w:r>
      <w:r w:rsidRPr="003F4597">
        <w:rPr>
          <w:b/>
          <w:sz w:val="28"/>
        </w:rPr>
        <w:t>–8</w:t>
      </w:r>
      <w:r w:rsidR="000E1EAC" w:rsidRPr="000E1EAC">
        <w:rPr>
          <w:i/>
          <w:sz w:val="24"/>
        </w:rPr>
        <w:t xml:space="preserve"> </w:t>
      </w:r>
      <w:r w:rsidR="000E1EAC">
        <w:rPr>
          <w:i/>
          <w:sz w:val="24"/>
        </w:rPr>
        <w:tab/>
      </w:r>
      <w:r w:rsidR="000E1EAC">
        <w:rPr>
          <w:i/>
          <w:sz w:val="24"/>
        </w:rPr>
        <w:tab/>
      </w:r>
      <w:r w:rsidR="000E1EAC">
        <w:rPr>
          <w:i/>
          <w:sz w:val="24"/>
        </w:rPr>
        <w:tab/>
      </w:r>
      <w:r w:rsidR="000E1EAC">
        <w:rPr>
          <w:i/>
          <w:sz w:val="24"/>
        </w:rPr>
        <w:tab/>
      </w:r>
      <w:r w:rsidR="000E1EAC">
        <w:rPr>
          <w:i/>
          <w:sz w:val="24"/>
        </w:rPr>
        <w:tab/>
      </w:r>
      <w:r w:rsidR="000E1EAC">
        <w:rPr>
          <w:i/>
          <w:sz w:val="24"/>
        </w:rPr>
        <w:tab/>
      </w:r>
      <w:r w:rsidR="000E1EAC">
        <w:rPr>
          <w:i/>
          <w:sz w:val="24"/>
        </w:rPr>
        <w:tab/>
      </w:r>
      <w:r w:rsidR="000E1EAC" w:rsidRPr="000E1EAC">
        <w:rPr>
          <w:i/>
          <w:sz w:val="24"/>
        </w:rPr>
        <w:t>Jason Zimba</w:t>
      </w:r>
    </w:p>
    <w:p w:rsidR="000E1EAC" w:rsidRDefault="000E1EAC" w:rsidP="003F4597">
      <w:pPr>
        <w:spacing w:line="360" w:lineRule="auto"/>
        <w:rPr>
          <w:sz w:val="24"/>
        </w:rPr>
      </w:pPr>
    </w:p>
    <w:p w:rsidR="003F4597" w:rsidRDefault="003F4597" w:rsidP="003F4597">
      <w:pPr>
        <w:spacing w:line="360" w:lineRule="auto"/>
        <w:rPr>
          <w:sz w:val="24"/>
        </w:rPr>
      </w:pPr>
      <w:r>
        <w:rPr>
          <w:sz w:val="24"/>
        </w:rPr>
        <w:t>Most of the K</w:t>
      </w:r>
      <w:r w:rsidRPr="00AA6C2A">
        <w:rPr>
          <w:sz w:val="24"/>
        </w:rPr>
        <w:t>–</w:t>
      </w:r>
      <w:r>
        <w:rPr>
          <w:sz w:val="24"/>
        </w:rPr>
        <w:t xml:space="preserve">8 content standards trace explicit steps A </w:t>
      </w:r>
      <w:r>
        <w:rPr>
          <w:sz w:val="24"/>
        </w:rPr>
        <w:sym w:font="Symbol" w:char="F0AE"/>
      </w:r>
      <w:r>
        <w:rPr>
          <w:sz w:val="24"/>
        </w:rPr>
        <w:t xml:space="preserve"> B </w:t>
      </w:r>
      <w:r>
        <w:rPr>
          <w:sz w:val="24"/>
        </w:rPr>
        <w:sym w:font="Symbol" w:char="F0AE"/>
      </w:r>
      <w:r>
        <w:rPr>
          <w:sz w:val="24"/>
        </w:rPr>
        <w:t xml:space="preserve"> C in a progression. This can sometimes make it seem as if any given standard only exists for the sake of t</w:t>
      </w:r>
      <w:bookmarkStart w:id="0" w:name="_GoBack"/>
      <w:bookmarkEnd w:id="0"/>
      <w:r>
        <w:rPr>
          <w:sz w:val="24"/>
        </w:rPr>
        <w:t xml:space="preserve">he next one in the progression. There are, however, culminating or capstone standards (I sometimes call them “pinnacles”), most of them in the middle grades, that remain important far </w:t>
      </w:r>
      <w:r w:rsidRPr="00AA6C2A">
        <w:rPr>
          <w:sz w:val="24"/>
        </w:rPr>
        <w:t xml:space="preserve">beyond the </w:t>
      </w:r>
      <w:r>
        <w:rPr>
          <w:sz w:val="24"/>
        </w:rPr>
        <w:t xml:space="preserve">particular </w:t>
      </w:r>
      <w:r w:rsidRPr="00AA6C2A">
        <w:rPr>
          <w:sz w:val="24"/>
        </w:rPr>
        <w:t xml:space="preserve">grade level </w:t>
      </w:r>
      <w:r>
        <w:rPr>
          <w:sz w:val="24"/>
        </w:rPr>
        <w:t>in which they appear</w:t>
      </w:r>
      <w:r w:rsidRPr="00AA6C2A">
        <w:rPr>
          <w:sz w:val="24"/>
        </w:rPr>
        <w:t xml:space="preserve">. </w:t>
      </w:r>
      <w:r>
        <w:rPr>
          <w:sz w:val="24"/>
        </w:rPr>
        <w:t>This is signaled in the Standards themselves (p. 84):</w:t>
      </w:r>
    </w:p>
    <w:p w:rsidR="003F4597" w:rsidRDefault="003F4597" w:rsidP="003F4597">
      <w:pPr>
        <w:spacing w:line="360" w:lineRule="auto"/>
        <w:rPr>
          <w:sz w:val="24"/>
        </w:rPr>
      </w:pPr>
    </w:p>
    <w:p w:rsidR="003F4597" w:rsidRPr="001E3E66" w:rsidRDefault="003F4597" w:rsidP="003F4597">
      <w:pPr>
        <w:spacing w:line="360" w:lineRule="auto"/>
        <w:ind w:left="720" w:right="1440"/>
        <w:rPr>
          <w:szCs w:val="20"/>
        </w:rPr>
      </w:pPr>
      <w:r w:rsidRPr="001E3E66">
        <w:rPr>
          <w:szCs w:val="20"/>
        </w:rPr>
        <w:t>The evidence concerning college and career readiness shows clearly that the knowledge, skills, and practices important for readiness include a great deal of mathematics prior to the boundary defined by (+) symbols in these standards. Indeed, some of the highest priority content for college and career readiness comes from Grades 6</w:t>
      </w:r>
      <w:r>
        <w:rPr>
          <w:szCs w:val="20"/>
        </w:rPr>
        <w:t>–</w:t>
      </w:r>
      <w:r w:rsidRPr="001E3E66">
        <w:rPr>
          <w:szCs w:val="20"/>
        </w:rPr>
        <w:t>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w:t>
      </w:r>
      <w:r>
        <w:rPr>
          <w:szCs w:val="20"/>
        </w:rPr>
        <w:t>–</w:t>
      </w:r>
      <w:r w:rsidRPr="001E3E66">
        <w:rPr>
          <w:szCs w:val="20"/>
        </w:rPr>
        <w:t>8. It is important to note as well that cut scores or other information generated by assessment systems for college and career readiness should be developed in collaboration with representatives from higher education and workforce development programs, and should be validated by subsequent performance of students in college and the workforce.</w:t>
      </w:r>
    </w:p>
    <w:p w:rsidR="003F4597" w:rsidRPr="00AA6C2A" w:rsidRDefault="003F4597" w:rsidP="003F4597">
      <w:pPr>
        <w:spacing w:line="360" w:lineRule="auto"/>
        <w:rPr>
          <w:sz w:val="24"/>
        </w:rPr>
      </w:pPr>
    </w:p>
    <w:p w:rsidR="003F4597" w:rsidRDefault="003F4597" w:rsidP="003F4597">
      <w:pPr>
        <w:spacing w:line="360" w:lineRule="auto"/>
        <w:ind w:firstLine="360"/>
        <w:rPr>
          <w:sz w:val="24"/>
        </w:rPr>
      </w:pPr>
      <w:r>
        <w:rPr>
          <w:sz w:val="24"/>
        </w:rPr>
        <w:t>One example of a standard that refers to skills that remain important well beyond middle school is 7.EE.3:</w:t>
      </w:r>
    </w:p>
    <w:p w:rsidR="003F4597" w:rsidRDefault="003F4597" w:rsidP="003F4597">
      <w:pPr>
        <w:spacing w:line="360" w:lineRule="auto"/>
        <w:ind w:firstLine="360"/>
        <w:rPr>
          <w:sz w:val="24"/>
        </w:rPr>
      </w:pPr>
    </w:p>
    <w:p w:rsidR="003F4597" w:rsidRDefault="003F4597" w:rsidP="00893DC5">
      <w:pPr>
        <w:spacing w:line="360" w:lineRule="auto"/>
        <w:ind w:left="720" w:right="1440"/>
        <w:rPr>
          <w:i/>
        </w:rPr>
      </w:pPr>
      <w:r w:rsidRPr="00287312">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287312">
        <w:rPr>
          <w:i/>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rsidR="003F4597" w:rsidRDefault="003F4597" w:rsidP="003F4597">
      <w:pPr>
        <w:spacing w:line="360" w:lineRule="auto"/>
        <w:ind w:firstLine="360"/>
        <w:rPr>
          <w:sz w:val="24"/>
        </w:rPr>
      </w:pPr>
    </w:p>
    <w:p w:rsidR="003F4597" w:rsidRDefault="003F4597" w:rsidP="003F4597">
      <w:pPr>
        <w:spacing w:line="360" w:lineRule="auto"/>
        <w:ind w:firstLine="360"/>
        <w:rPr>
          <w:sz w:val="24"/>
        </w:rPr>
      </w:pPr>
      <w:r>
        <w:rPr>
          <w:sz w:val="24"/>
        </w:rPr>
        <w:t>Other lasting achievements from K–8 would include working with proportional relationships and unit rates (6.RP.3; 7.RP.1</w:t>
      </w:r>
      <w:proofErr w:type="gramStart"/>
      <w:r>
        <w:rPr>
          <w:sz w:val="24"/>
        </w:rPr>
        <w:t>,2</w:t>
      </w:r>
      <w:proofErr w:type="gramEnd"/>
      <w:r>
        <w:rPr>
          <w:sz w:val="24"/>
        </w:rPr>
        <w:t xml:space="preserve">); working with percentages (6.RP.3e; 7.RP.3); and working with area, surface area, and volume (7.G.4,6). </w:t>
      </w:r>
    </w:p>
    <w:p w:rsidR="003F4597" w:rsidRDefault="003F4597" w:rsidP="003F4597">
      <w:pPr>
        <w:spacing w:line="360" w:lineRule="auto"/>
        <w:ind w:firstLine="360"/>
        <w:rPr>
          <w:sz w:val="24"/>
        </w:rPr>
      </w:pPr>
      <w:r>
        <w:rPr>
          <w:sz w:val="24"/>
        </w:rPr>
        <w:t>As indicated in the quotation from the Standards, skills like these are crucial tools for college, work and life. They are not meant to gather dust during high school, but are meant to be applied in increasingly flexible ways, for example to meet the high school standards for Modeling.  The illustration below shows how these skills fit in with both the learning progressions in the K–8 standards as well as the demands of the high school standards and readiness for careers and a wide range of college majors.</w:t>
      </w:r>
      <w:r w:rsidRPr="007D4F96">
        <w:rPr>
          <w:sz w:val="24"/>
        </w:rPr>
        <w:t xml:space="preserve"> </w:t>
      </w:r>
      <w:r>
        <w:rPr>
          <w:sz w:val="24"/>
        </w:rPr>
        <w:t xml:space="preserve"> </w:t>
      </w:r>
    </w:p>
    <w:p w:rsidR="00760ECF" w:rsidRDefault="00760ECF" w:rsidP="003F4597">
      <w:pPr>
        <w:spacing w:line="360" w:lineRule="auto"/>
        <w:ind w:firstLine="360"/>
        <w:rPr>
          <w:sz w:val="24"/>
        </w:rPr>
      </w:pPr>
    </w:p>
    <w:p w:rsidR="00760ECF" w:rsidRDefault="003F4597" w:rsidP="00760ECF">
      <w:pPr>
        <w:spacing w:line="360" w:lineRule="auto"/>
        <w:ind w:firstLine="360"/>
        <w:jc w:val="center"/>
        <w:rPr>
          <w:sz w:val="24"/>
        </w:rPr>
      </w:pPr>
      <w:r>
        <w:rPr>
          <w:noProof/>
          <w:sz w:val="24"/>
        </w:rPr>
        <w:drawing>
          <wp:inline distT="0" distB="0" distL="0" distR="0">
            <wp:extent cx="4338955" cy="4010025"/>
            <wp:effectExtent l="19050" t="19050" r="23495" b="2857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nacles.jpg"/>
                    <pic:cNvPicPr/>
                  </pic:nvPicPr>
                  <pic:blipFill>
                    <a:blip r:embed="rId5">
                      <a:extLst>
                        <a:ext uri="{28A0092B-C50C-407E-A947-70E740481C1C}">
                          <a14:useLocalDpi xmlns:a14="http://schemas.microsoft.com/office/drawing/2010/main" val="0"/>
                        </a:ext>
                      </a:extLst>
                    </a:blip>
                    <a:stretch>
                      <a:fillRect/>
                    </a:stretch>
                  </pic:blipFill>
                  <pic:spPr>
                    <a:xfrm>
                      <a:off x="0" y="0"/>
                      <a:ext cx="4338955" cy="4010025"/>
                    </a:xfrm>
                    <a:prstGeom prst="rect">
                      <a:avLst/>
                    </a:prstGeom>
                    <a:ln>
                      <a:solidFill>
                        <a:schemeClr val="tx1"/>
                      </a:solidFill>
                    </a:ln>
                  </pic:spPr>
                </pic:pic>
              </a:graphicData>
            </a:graphic>
          </wp:inline>
        </w:drawing>
      </w:r>
    </w:p>
    <w:p w:rsidR="00760ECF" w:rsidRDefault="00760ECF" w:rsidP="00760ECF">
      <w:pPr>
        <w:spacing w:line="360" w:lineRule="auto"/>
        <w:rPr>
          <w:sz w:val="24"/>
        </w:rPr>
      </w:pPr>
    </w:p>
    <w:p w:rsidR="003F4597" w:rsidRDefault="003F4597" w:rsidP="00760ECF">
      <w:pPr>
        <w:spacing w:line="360" w:lineRule="auto"/>
        <w:ind w:firstLine="360"/>
        <w:rPr>
          <w:sz w:val="24"/>
        </w:rPr>
      </w:pPr>
      <w:r>
        <w:rPr>
          <w:sz w:val="24"/>
        </w:rPr>
        <w:t xml:space="preserve">As shown in the figure, standards like 7.EE.3 are best thought of as descriptions of component skills that will be applied flexibly during high school in tandem with others in the course of modeling tasks and other substantial applications. This aligns with the demands of </w:t>
      </w:r>
      <w:r>
        <w:rPr>
          <w:sz w:val="24"/>
        </w:rPr>
        <w:lastRenderedPageBreak/>
        <w:t xml:space="preserve">postsecondary education for careers and for a wide range of college majors. Thus, when high school students work with these skills in high school, they are not working below grade level; nor are they reviewing. Applying securely held mathematics to open-ended problems and applications is a </w:t>
      </w:r>
      <w:r w:rsidRPr="00F20517">
        <w:rPr>
          <w:i/>
          <w:sz w:val="24"/>
        </w:rPr>
        <w:t>higher</w:t>
      </w:r>
      <w:r w:rsidRPr="007D4F96">
        <w:rPr>
          <w:sz w:val="24"/>
        </w:rPr>
        <w:t xml:space="preserve">-order </w:t>
      </w:r>
      <w:r>
        <w:rPr>
          <w:sz w:val="24"/>
        </w:rPr>
        <w:t xml:space="preserve">skill </w:t>
      </w:r>
      <w:r w:rsidRPr="007D4F96">
        <w:rPr>
          <w:sz w:val="24"/>
        </w:rPr>
        <w:t>valued by colleges and employers</w:t>
      </w:r>
      <w:r>
        <w:rPr>
          <w:sz w:val="24"/>
        </w:rPr>
        <w:t xml:space="preserve"> alike</w:t>
      </w:r>
      <w:r w:rsidRPr="007D4F96">
        <w:rPr>
          <w:sz w:val="24"/>
        </w:rPr>
        <w:t xml:space="preserve">. </w:t>
      </w:r>
    </w:p>
    <w:p w:rsidR="003F4597" w:rsidRDefault="003F4597" w:rsidP="003F4597">
      <w:pPr>
        <w:spacing w:line="360" w:lineRule="auto"/>
        <w:rPr>
          <w:sz w:val="24"/>
        </w:rPr>
      </w:pPr>
    </w:p>
    <w:p w:rsidR="003F4597" w:rsidRDefault="003F4597" w:rsidP="003F4597">
      <w:pPr>
        <w:spacing w:line="360" w:lineRule="auto"/>
        <w:rPr>
          <w:sz w:val="24"/>
        </w:rPr>
      </w:pPr>
      <w:r>
        <w:rPr>
          <w:noProof/>
          <w:sz w:val="24"/>
        </w:rPr>
        <mc:AlternateContent>
          <mc:Choice Requires="wpg">
            <w:drawing>
              <wp:anchor distT="0" distB="0" distL="114300" distR="114300" simplePos="0" relativeHeight="251660288" behindDoc="0" locked="0" layoutInCell="1" allowOverlap="1" wp14:anchorId="3C27D05C" wp14:editId="5E711CA2">
                <wp:simplePos x="0" y="0"/>
                <wp:positionH relativeFrom="column">
                  <wp:posOffset>-371475</wp:posOffset>
                </wp:positionH>
                <wp:positionV relativeFrom="paragraph">
                  <wp:posOffset>76835</wp:posOffset>
                </wp:positionV>
                <wp:extent cx="1970974" cy="2152689"/>
                <wp:effectExtent l="0" t="0" r="10795" b="19050"/>
                <wp:wrapSquare wrapText="bothSides"/>
                <wp:docPr id="677" name="Group 677"/>
                <wp:cNvGraphicFramePr/>
                <a:graphic xmlns:a="http://schemas.openxmlformats.org/drawingml/2006/main">
                  <a:graphicData uri="http://schemas.microsoft.com/office/word/2010/wordprocessingGroup">
                    <wpg:wgp>
                      <wpg:cNvGrpSpPr/>
                      <wpg:grpSpPr>
                        <a:xfrm>
                          <a:off x="0" y="0"/>
                          <a:ext cx="1970974" cy="2152689"/>
                          <a:chOff x="0" y="0"/>
                          <a:chExt cx="1970974" cy="2152689"/>
                        </a:xfrm>
                      </wpg:grpSpPr>
                      <wps:wsp>
                        <wps:cNvPr id="23" name="Isosceles Triangle 23"/>
                        <wps:cNvSpPr/>
                        <wps:spPr>
                          <a:xfrm>
                            <a:off x="476250" y="866775"/>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Isosceles Triangle 24"/>
                        <wps:cNvSpPr/>
                        <wps:spPr>
                          <a:xfrm flipV="1">
                            <a:off x="476250" y="0"/>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Isosceles Triangle 25"/>
                        <wps:cNvSpPr/>
                        <wps:spPr>
                          <a:xfrm>
                            <a:off x="1485900" y="800100"/>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Isosceles Triangle 27"/>
                        <wps:cNvSpPr/>
                        <wps:spPr>
                          <a:xfrm>
                            <a:off x="1304925" y="1114425"/>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Isosceles Triangle 28"/>
                        <wps:cNvSpPr/>
                        <wps:spPr>
                          <a:xfrm flipV="1">
                            <a:off x="1304925" y="209550"/>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Isosceles Triangle 29"/>
                        <wps:cNvSpPr/>
                        <wps:spPr>
                          <a:xfrm flipV="1">
                            <a:off x="1495425" y="85725"/>
                            <a:ext cx="475549" cy="103826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Isosceles Triangle 673"/>
                        <wps:cNvSpPr/>
                        <wps:spPr>
                          <a:xfrm>
                            <a:off x="247650" y="457200"/>
                            <a:ext cx="474980" cy="1038225"/>
                          </a:xfrm>
                          <a:prstGeom prst="triangl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Isosceles Triangle 674"/>
                        <wps:cNvSpPr/>
                        <wps:spPr>
                          <a:xfrm>
                            <a:off x="828675" y="142875"/>
                            <a:ext cx="474980" cy="1038225"/>
                          </a:xfrm>
                          <a:prstGeom prst="triangl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Isosceles Triangle 675"/>
                        <wps:cNvSpPr/>
                        <wps:spPr>
                          <a:xfrm>
                            <a:off x="828675" y="676275"/>
                            <a:ext cx="474980" cy="1038225"/>
                          </a:xfrm>
                          <a:prstGeom prst="triangl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Isosceles Triangle 676"/>
                        <wps:cNvSpPr/>
                        <wps:spPr>
                          <a:xfrm>
                            <a:off x="0" y="209550"/>
                            <a:ext cx="474980" cy="1038225"/>
                          </a:xfrm>
                          <a:prstGeom prst="triangl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77" o:spid="_x0000_s1026" style="position:absolute;margin-left:-29.25pt;margin-top:6.05pt;width:155.2pt;height:169.5pt;z-index:251660288" coordsize="19709,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7" type="#_x0000_t5" style="position:absolute;left:4762;top:8667;width:4755;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JcIA&#10;AADbAAAADwAAAGRycy9kb3ducmV2LnhtbESPQWvCQBSE7wX/w/IK3uomCqWm2YiIggcvTfwBj+wz&#10;mzb7NmbXGP+9Wyj0OMzMN0y+mWwnRhp861hBukhAENdOt9woOFeHtw8QPiBr7ByTggd52BSzlxwz&#10;7e78RWMZGhEh7DNUYELoMyl9bciiX7ieOHoXN1gMUQ6N1APeI9x2cpkk79Jiy3HBYE87Q/VPebMK&#10;TmZa611add9rltd0bxscD1ul5q/T9hNEoCn8h//aR61guYLfL/EHy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JYlwgAAANsAAAAPAAAAAAAAAAAAAAAAAJgCAABkcnMvZG93&#10;bnJldi54bWxQSwUGAAAAAAQABAD1AAAAhwMAAAAA&#10;" fillcolor="#4f81bd [3204]" strokecolor="#243f60 [1604]" strokeweight="2pt"/>
                <v:shape id="Isosceles Triangle 24" o:spid="_x0000_s1028" type="#_x0000_t5" style="position:absolute;left:4762;width:4755;height:1038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FU8QA&#10;AADbAAAADwAAAGRycy9kb3ducmV2LnhtbESPzWrDMBCE74G+g9hCLqGRm5a0dSyHEGjra34OyW2x&#10;NpKptTKWkjhvXxUKOQ4z8w1TLAfXigv1ofGs4HmagSCuvW7YKNjvPp/eQYSIrLH1TApuFGBZPowK&#10;zLW/8oYu22hEgnDIUYGNsculDLUlh2HqO+LknXzvMCbZG6l7vCa4a+Usy+bSYcNpwWJHa0v1z/bs&#10;FPi3bnIz2ZdZ28nHqorfh5cjVkqNH4fVAkSkId7D/+1KK5i9wt+X9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RVPEAAAA2wAAAA8AAAAAAAAAAAAAAAAAmAIAAGRycy9k&#10;b3ducmV2LnhtbFBLBQYAAAAABAAEAPUAAACJAwAAAAA=&#10;" fillcolor="#4f81bd [3204]" strokecolor="#243f60 [1604]" strokeweight="2pt"/>
                <v:shape id="Isosceles Triangle 25" o:spid="_x0000_s1029" type="#_x0000_t5" style="position:absolute;left:14859;top:8001;width:4755;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rysIA&#10;AADbAAAADwAAAGRycy9kb3ducmV2LnhtbESPQWvCQBSE7wX/w/IK3uomgqWm2YiIggcvTfwBj+wz&#10;mzb7NmbXGP+9Wyj0OMzMN0y+mWwnRhp861hBukhAENdOt9woOFeHtw8QPiBr7ByTggd52BSzlxwz&#10;7e78RWMZGhEh7DNUYELoMyl9bciiX7ieOHoXN1gMUQ6N1APeI9x2cpkk79Jiy3HBYE87Q/VPebMK&#10;TmZa611add9rltd0bxscD1ul5q/T9hNEoCn8h//aR61guYLfL/EHy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5avKwgAAANsAAAAPAAAAAAAAAAAAAAAAAJgCAABkcnMvZG93&#10;bnJldi54bWxQSwUGAAAAAAQABAD1AAAAhwMAAAAA&#10;" fillcolor="#4f81bd [3204]" strokecolor="#243f60 [1604]" strokeweight="2pt"/>
                <v:shape id="Isosceles Triangle 27" o:spid="_x0000_s1030" type="#_x0000_t5" style="position:absolute;left:13049;top:11144;width:4755;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uQJsIA&#10;AADbAAAADwAAAGRycy9kb3ducmV2LnhtbESPwW7CMBBE75X4B2srcStOONCSxkEIgcSBSxM+YBUv&#10;cdp4HWITwt/jSpV6HM3MG02+mWwnRhp861hBukhAENdOt9woOFeHtw8QPiBr7ByTggd52BSzlxwz&#10;7e78RWMZGhEh7DNUYELoMyl9bciiX7ieOHoXN1gMUQ6N1APeI9x2cpkkK2mx5bhgsKedofqnvFkF&#10;JzOt9S6tuu81y2u6tw2Oh61S89dp+wki0BT+w3/to1awfIffL/EHy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5AmwgAAANsAAAAPAAAAAAAAAAAAAAAAAJgCAABkcnMvZG93&#10;bnJldi54bWxQSwUGAAAAAAQABAD1AAAAhwMAAAAA&#10;" fillcolor="#4f81bd [3204]" strokecolor="#243f60 [1604]" strokeweight="2pt"/>
                <v:shape id="Isosceles Triangle 28" o:spid="_x0000_s1031" type="#_x0000_t5" style="position:absolute;left:13049;top:2095;width:4755;height:1038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PVr8A&#10;AADbAAAADwAAAGRycy9kb3ducmV2LnhtbERPy4rCMBTdC/MP4Q64EU1HwUc1ighqt6OzGHeX5pqU&#10;aW5KE7X+vVkIszyc92rTuVrcqQ2VZwVfowwEcel1xUbBz3k/nIMIEVlj7ZkUPCnAZv3RW2Gu/YO/&#10;6X6KRqQQDjkqsDE2uZShtOQwjHxDnLirbx3GBFsjdYuPFO5qOc6yqXRYcWqw2NDOUvl3ujkFftYM&#10;niY7mJ0dLLZFPP5OLlgo1f/stksQkbr4L367C61gnMamL+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YU9WvwAAANsAAAAPAAAAAAAAAAAAAAAAAJgCAABkcnMvZG93bnJl&#10;di54bWxQSwUGAAAAAAQABAD1AAAAhAMAAAAA&#10;" fillcolor="#4f81bd [3204]" strokecolor="#243f60 [1604]" strokeweight="2pt"/>
                <v:shape id="Isosceles Triangle 29" o:spid="_x0000_s1032" type="#_x0000_t5" style="position:absolute;left:14954;top:857;width:4755;height:1038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zcMA&#10;AADbAAAADwAAAGRycy9kb3ducmV2LnhtbESPQWsCMRSE74L/ITzBi9SsFrRuNysi2O616sHeHpvX&#10;ZOnmZdlEXf99Uyj0OMzMN0yxHVwrbtSHxrOCxTwDQVx73bBRcD4dnl5AhIissfVMCh4UYFuORwXm&#10;2t/5g27HaESCcMhRgY2xy6UMtSWHYe474uR9+d5hTLI3Uvd4T3DXymWWraTDhtOCxY72lurv49Up&#10;8Otu9jDZm9nb2WZXxffL8ydWSk0nw+4VRKQh/of/2pVWsNzA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qzcMAAADbAAAADwAAAAAAAAAAAAAAAACYAgAAZHJzL2Rv&#10;d25yZXYueG1sUEsFBgAAAAAEAAQA9QAAAIgDAAAAAA==&#10;" fillcolor="#4f81bd [3204]" strokecolor="#243f60 [1604]" strokeweight="2pt"/>
                <v:shape id="Isosceles Triangle 673" o:spid="_x0000_s1033" type="#_x0000_t5" style="position:absolute;left:2476;top:4572;width:4750;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GD8YA&#10;AADcAAAADwAAAGRycy9kb3ducmV2LnhtbESPW2vCQBSE3wv+h+UIvtWNF2JJ3UgpKEofilbQx9Ps&#10;yUWzZ0N2jem/7xYKPg4z8w2zXPWmFh21rrKsYDKOQBBnVldcKDh+rZ9fQDiPrLG2TAp+yMEqHTwt&#10;MdH2znvqDr4QAcIuQQWl900ipctKMujGtiEOXm5bgz7ItpC6xXuAm1pOoyiWBisOCyU29F5Sdj3c&#10;jIJTN6WN/7h819HkMzvGu/n6lp+VGg37t1cQnnr/CP+3t1pBvJjB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0GD8YAAADcAAAADwAAAAAAAAAAAAAAAACYAgAAZHJz&#10;L2Rvd25yZXYueG1sUEsFBgAAAAAEAAQA9QAAAIsDAAAAAA==&#10;" fillcolor="#b8cce4 [1300]" strokecolor="#243f60 [1604]" strokeweight="2pt"/>
                <v:shape id="Isosceles Triangle 674" o:spid="_x0000_s1034" type="#_x0000_t5" style="position:absolute;left:8286;top:1428;width:4750;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ee8QA&#10;AADcAAAADwAAAGRycy9kb3ducmV2LnhtbESPQYvCMBSE7wv+h/AEb2uqSFeqUURQlD3IqqDHZ/Ns&#10;q81LaWLt/nuzsOBxmJlvmOm8NaVoqHaFZQWDfgSCOLW64EzB8bD6HINwHlljaZkU/JKD+azzMcVE&#10;2yf/ULP3mQgQdgkqyL2vEildmpNB17cVcfCutjbog6wzqWt8Brgp5TCKYmmw4LCQY0XLnNL7/mEU&#10;nJohrf337VJGg116jLej1eN6VqrXbRcTEJ5a/w7/tzdaQfw1gr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nnvEAAAA3AAAAA8AAAAAAAAAAAAAAAAAmAIAAGRycy9k&#10;b3ducmV2LnhtbFBLBQYAAAAABAAEAPUAAACJAwAAAAA=&#10;" fillcolor="#b8cce4 [1300]" strokecolor="#243f60 [1604]" strokeweight="2pt"/>
                <v:shape id="Isosceles Triangle 675" o:spid="_x0000_s1035" type="#_x0000_t5" style="position:absolute;left:8286;top:6762;width:4750;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74MYA&#10;AADcAAAADwAAAGRycy9kb3ducmV2LnhtbESPT2vCQBTE7wW/w/IEb3WjaCypGykFRemhaAU9vmZf&#10;/mj2bciuMf323ULB4zAzv2GWq97UoqPWVZYVTMYRCOLM6ooLBcev9fMLCOeRNdaWScEPOVilg6cl&#10;JtreeU/dwRciQNglqKD0vkmkdFlJBt3YNsTBy21r0AfZFlK3eA9wU8tpFMXSYMVhocSG3kvKroeb&#10;UXDqprTxH5fvOpp8Zsd4N1vf8rNSo2H/9grCU+8f4f/2ViuIF3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g74MYAAADcAAAADwAAAAAAAAAAAAAAAACYAgAAZHJz&#10;L2Rvd25yZXYueG1sUEsFBgAAAAAEAAQA9QAAAIsDAAAAAA==&#10;" fillcolor="#b8cce4 [1300]" strokecolor="#243f60 [1604]" strokeweight="2pt"/>
                <v:shape id="Isosceles Triangle 676" o:spid="_x0000_s1036" type="#_x0000_t5" style="position:absolute;top:2095;width:4749;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ll8QA&#10;AADcAAAADwAAAGRycy9kb3ducmV2LnhtbESPQYvCMBSE74L/ITzBm6aKVOkaRQRF8bDoCu7xbfNs&#10;uzYvpYm1/vuNIOxxmJlvmPmyNaVoqHaFZQWjYQSCOLW64EzB+WszmIFwHlljaZkUPMnBctHtzDHR&#10;9sFHak4+EwHCLkEFufdVIqVLczLohrYiDt7V1gZ9kHUmdY2PADelHEdRLA0WHBZyrGidU3o73Y2C&#10;SzOmrT/8/pTR6DM9x/vJ5n79Vqrfa1cfIDy1/j/8bu+0gngaw+t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6pZfEAAAA3AAAAA8AAAAAAAAAAAAAAAAAmAIAAGRycy9k&#10;b3ducmV2LnhtbFBLBQYAAAAABAAEAPUAAACJAwAAAAA=&#10;" fillcolor="#b8cce4 [1300]" strokecolor="#243f60 [1604]" strokeweight="2pt"/>
                <w10:wrap type="square"/>
              </v:group>
            </w:pict>
          </mc:Fallback>
        </mc:AlternateContent>
      </w:r>
      <w:r>
        <w:rPr>
          <w:sz w:val="24"/>
        </w:rPr>
        <w:t xml:space="preserve">One reason middle school is a complicated phase in the progression of learning is that the pinnacles are piling up even as the progressions A </w:t>
      </w:r>
      <w:r>
        <w:rPr>
          <w:sz w:val="24"/>
        </w:rPr>
        <w:sym w:font="Symbol" w:char="F0AE"/>
      </w:r>
      <w:r>
        <w:rPr>
          <w:sz w:val="24"/>
        </w:rPr>
        <w:t xml:space="preserve"> B </w:t>
      </w:r>
      <w:r>
        <w:rPr>
          <w:sz w:val="24"/>
        </w:rPr>
        <w:sym w:font="Symbol" w:char="F0AE"/>
      </w:r>
      <w:r>
        <w:rPr>
          <w:sz w:val="24"/>
        </w:rPr>
        <w:t xml:space="preserve"> C continue onward to the college/career readiness line. One reason we draw attention to lasting achievements here is that their importance for college and career readiness might easily be missed in this overall flow.</w:t>
      </w:r>
    </w:p>
    <w:p w:rsidR="003F4597" w:rsidRPr="00AA6C2A" w:rsidRDefault="003F4597" w:rsidP="003F4597">
      <w:pPr>
        <w:spacing w:line="360" w:lineRule="auto"/>
        <w:ind w:firstLine="360"/>
        <w:rPr>
          <w:sz w:val="24"/>
        </w:rPr>
      </w:pPr>
    </w:p>
    <w:p w:rsidR="003F4597" w:rsidRDefault="003F4597" w:rsidP="003F4597">
      <w:pPr>
        <w:spacing w:line="360" w:lineRule="auto"/>
        <w:rPr>
          <w:rFonts w:cs="Times New Roman"/>
          <w:sz w:val="24"/>
          <w:szCs w:val="24"/>
        </w:rPr>
      </w:pPr>
      <w:r>
        <w:rPr>
          <w:rFonts w:eastAsia="Times New Roman"/>
        </w:rPr>
        <w:br/>
      </w:r>
    </w:p>
    <w:p w:rsidR="003F4597" w:rsidRDefault="003F4597" w:rsidP="003F4597">
      <w:pPr>
        <w:spacing w:line="360" w:lineRule="auto"/>
        <w:rPr>
          <w:rFonts w:cs="Times New Roman"/>
          <w:sz w:val="24"/>
          <w:szCs w:val="24"/>
        </w:rPr>
      </w:pPr>
    </w:p>
    <w:p w:rsidR="002A6573" w:rsidRDefault="002A6573"/>
    <w:sectPr w:rsidR="002A6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97"/>
    <w:rsid w:val="000E1EAC"/>
    <w:rsid w:val="002A6573"/>
    <w:rsid w:val="003F4597"/>
    <w:rsid w:val="00760ECF"/>
    <w:rsid w:val="00893DC5"/>
    <w:rsid w:val="00C55BEA"/>
    <w:rsid w:val="00F4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97"/>
    <w:pPr>
      <w:spacing w:after="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E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97"/>
    <w:pPr>
      <w:spacing w:after="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E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jzimba</dc:creator>
  <cp:lastModifiedBy>jzimba</cp:lastModifiedBy>
  <cp:revision>4</cp:revision>
  <dcterms:created xsi:type="dcterms:W3CDTF">2011-06-15T16:47:00Z</dcterms:created>
  <dcterms:modified xsi:type="dcterms:W3CDTF">2011-06-15T19:35:00Z</dcterms:modified>
</cp:coreProperties>
</file>